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370EC422" w:rsidR="000A799A" w:rsidRPr="00943EC7" w:rsidRDefault="001362BB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Indemnity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1362BB" w:rsidRPr="00943EC7" w14:paraId="1CE6CC18" w14:textId="77777777" w:rsidTr="009C16D9">
        <w:tc>
          <w:tcPr>
            <w:tcW w:w="2972" w:type="dxa"/>
          </w:tcPr>
          <w:p w14:paraId="1218634C" w14:textId="1E2AB891" w:rsidR="001362BB" w:rsidRPr="00943EC7" w:rsidRDefault="001362BB" w:rsidP="001362B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494B642A" w:rsidR="001362BB" w:rsidRPr="00943EC7" w:rsidRDefault="001362BB" w:rsidP="001362BB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 xml:space="preserve">The main exposures for these clients will usually derive from alleged negligence in respect of advice, </w:t>
            </w:r>
            <w:proofErr w:type="gramStart"/>
            <w:r w:rsidRPr="001037D0">
              <w:rPr>
                <w:rFonts w:ascii="Arial" w:hAnsi="Arial" w:cs="Arial"/>
                <w:bCs/>
                <w:sz w:val="18"/>
                <w:szCs w:val="18"/>
              </w:rPr>
              <w:t>design</w:t>
            </w:r>
            <w:proofErr w:type="gramEnd"/>
            <w:r w:rsidRPr="001037D0">
              <w:rPr>
                <w:rFonts w:ascii="Arial" w:hAnsi="Arial" w:cs="Arial"/>
                <w:bCs/>
                <w:sz w:val="18"/>
                <w:szCs w:val="18"/>
              </w:rPr>
              <w:t xml:space="preserve"> or specification.</w:t>
            </w:r>
          </w:p>
        </w:tc>
      </w:tr>
      <w:tr w:rsidR="001362BB" w:rsidRPr="00943EC7" w14:paraId="2BA4D1C2" w14:textId="77777777" w:rsidTr="009C16D9">
        <w:tc>
          <w:tcPr>
            <w:tcW w:w="2972" w:type="dxa"/>
          </w:tcPr>
          <w:p w14:paraId="789F20BD" w14:textId="2855EF0F" w:rsidR="001362BB" w:rsidRPr="00943EC7" w:rsidRDefault="001362BB" w:rsidP="001362B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6C4E7C8B" w:rsidR="001362BB" w:rsidRPr="00943EC7" w:rsidRDefault="001362BB" w:rsidP="001362BB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category.</w:t>
            </w:r>
          </w:p>
        </w:tc>
      </w:tr>
      <w:tr w:rsidR="001362BB" w:rsidRPr="00943EC7" w14:paraId="61DAA804" w14:textId="77777777" w:rsidTr="009C16D9">
        <w:tc>
          <w:tcPr>
            <w:tcW w:w="2972" w:type="dxa"/>
          </w:tcPr>
          <w:p w14:paraId="6D0FBE44" w14:textId="378B01E7" w:rsidR="001362BB" w:rsidRPr="00943EC7" w:rsidRDefault="001362BB" w:rsidP="001362B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1362BB" w:rsidRPr="00943EC7" w:rsidRDefault="001362BB" w:rsidP="001362B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 have a Vulnerable Customers policy</w:t>
            </w:r>
          </w:p>
        </w:tc>
      </w:tr>
      <w:tr w:rsidR="001362BB" w:rsidRPr="00943EC7" w14:paraId="29C597F9" w14:textId="77777777" w:rsidTr="009C16D9">
        <w:tc>
          <w:tcPr>
            <w:tcW w:w="2972" w:type="dxa"/>
          </w:tcPr>
          <w:p w14:paraId="1C6C88DB" w14:textId="31B9AF8A" w:rsidR="001362BB" w:rsidRPr="00943EC7" w:rsidRDefault="001362BB" w:rsidP="001362B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77777777" w:rsidR="001362BB" w:rsidRPr="001037D0" w:rsidRDefault="001362BB" w:rsidP="001362BB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1362BB" w:rsidRPr="00943EC7" w:rsidRDefault="001362BB" w:rsidP="001362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1362BB" w:rsidRPr="00943EC7" w14:paraId="65246F09" w14:textId="77777777" w:rsidTr="009C16D9">
        <w:tc>
          <w:tcPr>
            <w:tcW w:w="2972" w:type="dxa"/>
          </w:tcPr>
          <w:p w14:paraId="66CBDAFD" w14:textId="78DE8B8C" w:rsidR="001362BB" w:rsidRPr="00943EC7" w:rsidRDefault="001362BB" w:rsidP="001362B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1362BB" w:rsidRPr="001037D0" w:rsidRDefault="001362BB" w:rsidP="001362BB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1362BB" w:rsidRPr="009C16D9" w:rsidRDefault="001362BB" w:rsidP="001362BB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362BB" w:rsidRPr="00943EC7" w14:paraId="3AC913AF" w14:textId="77777777" w:rsidTr="009C16D9">
        <w:tc>
          <w:tcPr>
            <w:tcW w:w="2972" w:type="dxa"/>
          </w:tcPr>
          <w:p w14:paraId="4A523A9E" w14:textId="348AAFE5" w:rsidR="001362BB" w:rsidRPr="00943EC7" w:rsidRDefault="001362BB" w:rsidP="001362B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1362BB" w:rsidRPr="001037D0" w:rsidRDefault="001362BB" w:rsidP="001362BB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35B2806F" w:rsidR="00903FEC" w:rsidRPr="00943EC7" w:rsidRDefault="001362BB" w:rsidP="00316E89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1037D0">
              <w:rPr>
                <w:rFonts w:ascii="Arial" w:hAnsi="Arial" w:cs="Arial"/>
                <w:bCs/>
                <w:sz w:val="18"/>
                <w:szCs w:val="18"/>
              </w:rPr>
              <w:t>The main exposures for these clients will usually derive from alleged negligence in respect of advice, design or specification.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5700EF5B" w:rsidR="00EA6709" w:rsidRPr="00B8575B" w:rsidRDefault="00A61BAB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Professional Indemnity 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44AC620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DAS Insurance  </w:t>
            </w:r>
          </w:p>
        </w:tc>
        <w:tc>
          <w:tcPr>
            <w:tcW w:w="2652" w:type="dxa"/>
          </w:tcPr>
          <w:p w14:paraId="40ECE034" w14:textId="243AC34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Legal Expenses</w:t>
            </w:r>
          </w:p>
        </w:tc>
        <w:tc>
          <w:tcPr>
            <w:tcW w:w="3594" w:type="dxa"/>
          </w:tcPr>
          <w:p w14:paraId="5A61FD63" w14:textId="561C515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£157.81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IPT (up to £10m Turnover)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4E1BEEB3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Insurance for Commercial 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362BB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61BAB"/>
    <w:rsid w:val="00A83D11"/>
    <w:rsid w:val="00A858C0"/>
    <w:rsid w:val="00A873AF"/>
    <w:rsid w:val="00A976C6"/>
    <w:rsid w:val="00AA4DEB"/>
    <w:rsid w:val="00AB2D39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3</TotalTime>
  <Pages>9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4</cp:revision>
  <dcterms:created xsi:type="dcterms:W3CDTF">2023-07-20T14:07:00Z</dcterms:created>
  <dcterms:modified xsi:type="dcterms:W3CDTF">2023-07-20T14:49:00Z</dcterms:modified>
</cp:coreProperties>
</file>